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WTable"/>
        <w:tblW w:w="0" w:type="auto"/>
        <w:tblLook w:val="04A0" w:firstRow="1" w:lastRow="0" w:firstColumn="1" w:lastColumn="0" w:noHBand="0" w:noVBand="1"/>
      </w:tblPr>
      <w:tblGrid>
        <w:gridCol w:w="3060"/>
        <w:gridCol w:w="980"/>
        <w:gridCol w:w="4860"/>
      </w:tblGrid>
      <w:tr w:rsidR="0050632A" w14:paraId="3D1926A7" w14:textId="77777777" w:rsidTr="00C13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DBAF8A6" w14:textId="1F9D3A31" w:rsidR="0050632A" w:rsidRDefault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Benefit</w:t>
            </w:r>
          </w:p>
        </w:tc>
        <w:tc>
          <w:tcPr>
            <w:tcW w:w="0" w:type="dxa"/>
          </w:tcPr>
          <w:p w14:paraId="777E21B6" w14:textId="6DDCE2E9" w:rsidR="004C1D1D" w:rsidRDefault="004C1D1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Tort Exposure</w:t>
            </w:r>
          </w:p>
        </w:tc>
        <w:tc>
          <w:tcPr>
            <w:tcW w:w="4860" w:type="dxa"/>
          </w:tcPr>
          <w:p w14:paraId="68E1E4F3" w14:textId="3153D0CD" w:rsidR="0050632A" w:rsidRDefault="00FD3EDF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Oliver Wyman</w:t>
            </w:r>
            <w:r w:rsidR="0050632A">
              <w:rPr>
                <w:lang w:val="en-GB"/>
              </w:rPr>
              <w:t xml:space="preserve"> Commentary</w:t>
            </w:r>
          </w:p>
        </w:tc>
      </w:tr>
      <w:tr w:rsidR="0050632A" w14:paraId="6B10EB85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8ECAF7C" w14:textId="60C13B3F" w:rsidR="0050632A" w:rsidRDefault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Income Replacement Benefit</w:t>
            </w:r>
          </w:p>
        </w:tc>
        <w:tc>
          <w:tcPr>
            <w:tcW w:w="0" w:type="dxa"/>
          </w:tcPr>
          <w:p w14:paraId="38C1A300" w14:textId="482C8AAF" w:rsidR="00864439" w:rsidRDefault="0086443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860" w:type="dxa"/>
          </w:tcPr>
          <w:p w14:paraId="52283F28" w14:textId="77777777" w:rsidR="0050632A" w:rsidRDefault="00382A7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There will be </w:t>
            </w:r>
            <w:r w:rsidR="005F35F7">
              <w:rPr>
                <w:lang w:val="en-GB"/>
              </w:rPr>
              <w:t>tort</w:t>
            </w:r>
            <w:r>
              <w:rPr>
                <w:lang w:val="en-GB"/>
              </w:rPr>
              <w:t xml:space="preserve"> exposure for this benefit for income </w:t>
            </w:r>
            <w:r w:rsidR="004C1D1D">
              <w:rPr>
                <w:lang w:val="en-GB"/>
              </w:rPr>
              <w:t xml:space="preserve">in </w:t>
            </w:r>
            <w:r>
              <w:rPr>
                <w:lang w:val="en-GB"/>
              </w:rPr>
              <w:t xml:space="preserve">excess of the Care-First limits. We estimate the amount of this exposure on </w:t>
            </w:r>
            <w:r w:rsidR="000C1501">
              <w:rPr>
                <w:lang w:val="en-GB"/>
              </w:rPr>
              <w:t>Exhibit </w:t>
            </w:r>
            <w:r>
              <w:rPr>
                <w:lang w:val="en-GB"/>
              </w:rPr>
              <w:t>CF-1.5.</w:t>
            </w:r>
            <w:r w:rsidR="00DB68E4">
              <w:rPr>
                <w:lang w:val="en-GB"/>
              </w:rPr>
              <w:t xml:space="preserve"> </w:t>
            </w:r>
          </w:p>
          <w:p w14:paraId="471720D1" w14:textId="77777777" w:rsidR="00DB68E4" w:rsidRDefault="00DB68E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tort exposure </w:t>
            </w:r>
            <w:r w:rsidR="00621AF6">
              <w:rPr>
                <w:lang w:val="en-GB"/>
              </w:rPr>
              <w:t>here would include retirement-eligible individuals who are working.</w:t>
            </w:r>
          </w:p>
          <w:p w14:paraId="7B14E137" w14:textId="55550344" w:rsidR="00E841C4" w:rsidRDefault="00E841C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Our accident benefits (and tort exposure) for IRB is slightly conservative as it doesn’t consider that retirees are reimbursed at 70% (not 90%) and reduced for pension income.</w:t>
            </w:r>
          </w:p>
        </w:tc>
      </w:tr>
      <w:tr w:rsidR="0050632A" w14:paraId="18BE14CC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32846EE" w14:textId="3FC8745C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Retirement Income Benefit</w:t>
            </w:r>
          </w:p>
        </w:tc>
        <w:tc>
          <w:tcPr>
            <w:tcW w:w="0" w:type="dxa"/>
          </w:tcPr>
          <w:p w14:paraId="48BED975" w14:textId="013F774E" w:rsidR="004C1D1D" w:rsidRDefault="009072AB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3B35C472" w14:textId="225166FF" w:rsidR="0050632A" w:rsidRDefault="009072AB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There is no maximum benefit amount for the retirement income benefit.</w:t>
            </w:r>
          </w:p>
        </w:tc>
      </w:tr>
      <w:tr w:rsidR="0050632A" w14:paraId="39EA392C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F30963F" w14:textId="0619E5B9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Loss of Studies Benefit</w:t>
            </w:r>
          </w:p>
        </w:tc>
        <w:tc>
          <w:tcPr>
            <w:tcW w:w="0" w:type="dxa"/>
          </w:tcPr>
          <w:p w14:paraId="0A2406AA" w14:textId="6A8874D4" w:rsidR="00864439" w:rsidRDefault="00864439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536AD47E" w14:textId="77777777" w:rsidR="00114F32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loss of studies benefit is written as the greater of </w:t>
            </w:r>
            <w:r w:rsidR="004C1D1D">
              <w:rPr>
                <w:lang w:val="en-GB"/>
              </w:rPr>
              <w:t>(i) </w:t>
            </w:r>
            <w:r>
              <w:rPr>
                <w:lang w:val="en-GB"/>
              </w:rPr>
              <w:t xml:space="preserve">the cost of tuition fees or </w:t>
            </w:r>
            <w:r w:rsidR="004C1D1D">
              <w:rPr>
                <w:lang w:val="en-GB"/>
              </w:rPr>
              <w:t>(ii) </w:t>
            </w:r>
            <w:r>
              <w:rPr>
                <w:lang w:val="en-GB"/>
              </w:rPr>
              <w:t xml:space="preserve">the lump sum amount determined by the Minister. Therefore, we do not foresee a scenario </w:t>
            </w:r>
            <w:r w:rsidR="004C1D1D">
              <w:rPr>
                <w:lang w:val="en-GB"/>
              </w:rPr>
              <w:t xml:space="preserve">in which </w:t>
            </w:r>
            <w:r>
              <w:rPr>
                <w:lang w:val="en-GB"/>
              </w:rPr>
              <w:t>the individual will not be fully indemnified and would be eligible to sue.</w:t>
            </w:r>
            <w:r w:rsidR="004742B4">
              <w:rPr>
                <w:lang w:val="en-GB"/>
              </w:rPr>
              <w:t xml:space="preserve"> </w:t>
            </w:r>
          </w:p>
          <w:p w14:paraId="385B32F8" w14:textId="77777777" w:rsidR="00114F32" w:rsidRDefault="00114F32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600DB50" w14:textId="43E86D72" w:rsidR="0050632A" w:rsidRDefault="004742B4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We believe </w:t>
            </w:r>
            <w:r w:rsidR="00114F32">
              <w:rPr>
                <w:lang w:val="en-GB"/>
              </w:rPr>
              <w:t xml:space="preserve">tuition + </w:t>
            </w:r>
            <w:r>
              <w:rPr>
                <w:lang w:val="en-GB"/>
              </w:rPr>
              <w:t xml:space="preserve">ancillary costs </w:t>
            </w:r>
            <w:r w:rsidR="00114F32">
              <w:rPr>
                <w:lang w:val="en-GB"/>
              </w:rPr>
              <w:t xml:space="preserve">would be covered by the lump sum. </w:t>
            </w:r>
            <w:r w:rsidR="002D7813">
              <w:rPr>
                <w:lang w:val="en-GB"/>
              </w:rPr>
              <w:t xml:space="preserve"> [add comment on the addl schedule]</w:t>
            </w:r>
          </w:p>
        </w:tc>
      </w:tr>
      <w:tr w:rsidR="0050632A" w14:paraId="37CBA810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9A00DCC" w14:textId="3BC599F0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Caregiver Benefit</w:t>
            </w:r>
          </w:p>
        </w:tc>
        <w:tc>
          <w:tcPr>
            <w:tcW w:w="0" w:type="dxa"/>
          </w:tcPr>
          <w:p w14:paraId="044EE705" w14:textId="77C8DD88" w:rsidR="00943F1A" w:rsidRPr="00C13FEE" w:rsidRDefault="0003216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3C3E2985" w14:textId="28A4CB69" w:rsidR="0050632A" w:rsidRPr="007F5D41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F5D41">
              <w:rPr>
                <w:lang w:val="en-GB"/>
              </w:rPr>
              <w:t>We have an outstanding question to MPI regarding the basis of the benefit amount.</w:t>
            </w:r>
            <w:r w:rsidR="0003216E">
              <w:rPr>
                <w:lang w:val="en-GB"/>
              </w:rPr>
              <w:br/>
            </w:r>
            <w:r w:rsidR="0003216E">
              <w:rPr>
                <w:lang w:val="en-GB"/>
              </w:rPr>
              <w:br/>
            </w:r>
            <w:r w:rsidR="008D1972">
              <w:rPr>
                <w:lang w:val="en-GB"/>
              </w:rPr>
              <w:t>There are no out-of-pocket expenses related to this benefit.</w:t>
            </w:r>
          </w:p>
        </w:tc>
      </w:tr>
      <w:tr w:rsidR="0050632A" w14:paraId="44218F98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AFB3200" w14:textId="74C85BEC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Daily Living Assistance Expenses</w:t>
            </w:r>
            <w:r w:rsidR="00F57243">
              <w:rPr>
                <w:lang w:val="en-GB"/>
              </w:rPr>
              <w:t xml:space="preserve"> / Personal Care Assistance</w:t>
            </w:r>
          </w:p>
        </w:tc>
        <w:tc>
          <w:tcPr>
            <w:tcW w:w="0" w:type="dxa"/>
          </w:tcPr>
          <w:p w14:paraId="22B9FC19" w14:textId="2E674D26" w:rsidR="00943F1A" w:rsidRPr="00C13FEE" w:rsidRDefault="00943F1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3FEE">
              <w:rPr>
                <w:lang w:val="en-GB"/>
              </w:rPr>
              <w:t>YES</w:t>
            </w:r>
          </w:p>
        </w:tc>
        <w:tc>
          <w:tcPr>
            <w:tcW w:w="4860" w:type="dxa"/>
          </w:tcPr>
          <w:p w14:paraId="4AF0FAA7" w14:textId="77777777" w:rsidR="0050632A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F5D41">
              <w:rPr>
                <w:lang w:val="en-GB"/>
              </w:rPr>
              <w:t>We have an outstanding question to MPI regarding the basis of the benefit amount.</w:t>
            </w:r>
          </w:p>
          <w:p w14:paraId="5D5ED198" w14:textId="77777777" w:rsidR="0003216E" w:rsidRDefault="0003216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31B9E8B7" w14:textId="4DC05FCC" w:rsidR="0003216E" w:rsidRPr="007F5D41" w:rsidRDefault="0003216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There may be potential tort eligibility if expenses exceed the </w:t>
            </w:r>
            <w:r>
              <w:rPr>
                <w:lang w:val="en-GB"/>
              </w:rPr>
              <w:t>monthly</w:t>
            </w:r>
            <w:r>
              <w:rPr>
                <w:lang w:val="en-GB"/>
              </w:rPr>
              <w:t xml:space="preserve"> specified amounts. However, we expect these situations </w:t>
            </w:r>
            <w:r w:rsidR="0043460A">
              <w:rPr>
                <w:lang w:val="en-GB"/>
              </w:rPr>
              <w:t>to occur for the most severe injuries requiring round the clock care</w:t>
            </w:r>
            <w:r>
              <w:rPr>
                <w:lang w:val="en-GB"/>
              </w:rPr>
              <w:t>.</w:t>
            </w:r>
          </w:p>
        </w:tc>
      </w:tr>
      <w:tr w:rsidR="0050632A" w14:paraId="0952670C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4C7FB98" w14:textId="65346E5F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Transportation, Lodging, Other Expenses</w:t>
            </w:r>
            <w:r w:rsidR="00043140">
              <w:rPr>
                <w:lang w:val="en-GB"/>
              </w:rPr>
              <w:t xml:space="preserve"> / </w:t>
            </w:r>
            <w:r w:rsidR="00043140" w:rsidRPr="00043140">
              <w:rPr>
                <w:lang w:val="en-GB"/>
              </w:rPr>
              <w:t xml:space="preserve">Travel </w:t>
            </w:r>
            <w:r w:rsidR="00043140">
              <w:rPr>
                <w:lang w:val="en-GB"/>
              </w:rPr>
              <w:t>a</w:t>
            </w:r>
            <w:r w:rsidR="00043140" w:rsidRPr="00043140">
              <w:rPr>
                <w:lang w:val="en-GB"/>
              </w:rPr>
              <w:t>nd Accommodation</w:t>
            </w:r>
          </w:p>
        </w:tc>
        <w:tc>
          <w:tcPr>
            <w:tcW w:w="0" w:type="dxa"/>
          </w:tcPr>
          <w:p w14:paraId="19CACC2D" w14:textId="7723FAA6" w:rsidR="00DD4ECE" w:rsidRDefault="00DD4EC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270BC35C" w14:textId="79394376" w:rsidR="0050632A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benefit </w:t>
            </w:r>
            <w:r w:rsidR="004C1D1D">
              <w:rPr>
                <w:lang w:val="en-GB"/>
              </w:rPr>
              <w:t>states</w:t>
            </w:r>
            <w:r>
              <w:rPr>
                <w:lang w:val="en-GB"/>
              </w:rPr>
              <w:t xml:space="preserve"> that an individual will receive compensation for travel or lodging if it is deemed necessary. Therefore, if the </w:t>
            </w:r>
            <w:r w:rsidR="00382A78">
              <w:rPr>
                <w:lang w:val="en-GB"/>
              </w:rPr>
              <w:t>amounts are deemed necessary, the individual will receive compensation. If the amounts are not deemed necessary, the individual will not have the support necessary to sue.</w:t>
            </w:r>
          </w:p>
        </w:tc>
      </w:tr>
      <w:tr w:rsidR="0050632A" w14:paraId="59B78479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4F909AF0" w14:textId="7ACB964E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Expenses for Care of Other Person</w:t>
            </w:r>
            <w:r w:rsidR="00ED1D3A">
              <w:rPr>
                <w:lang w:val="en-GB"/>
              </w:rPr>
              <w:t xml:space="preserve"> / </w:t>
            </w:r>
            <w:r w:rsidR="00A80A6E">
              <w:rPr>
                <w:lang w:val="en-GB"/>
              </w:rPr>
              <w:t>Ch</w:t>
            </w:r>
            <w:r w:rsidR="005900E2">
              <w:rPr>
                <w:lang w:val="en-GB"/>
              </w:rPr>
              <w:t>ildcare Expenses</w:t>
            </w:r>
          </w:p>
        </w:tc>
        <w:tc>
          <w:tcPr>
            <w:tcW w:w="0" w:type="dxa"/>
          </w:tcPr>
          <w:p w14:paraId="228F2B6A" w14:textId="4E2AA5BA" w:rsidR="004C1D1D" w:rsidRDefault="0003216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7994BA2F" w14:textId="2EF318B7" w:rsidR="0050632A" w:rsidRDefault="0003216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benefit states that an individual will receive compensation for </w:t>
            </w:r>
            <w:r>
              <w:rPr>
                <w:lang w:val="en-GB"/>
              </w:rPr>
              <w:t>reasonable and necessary expenses</w:t>
            </w:r>
            <w:r>
              <w:rPr>
                <w:lang w:val="en-GB"/>
              </w:rPr>
              <w:t>. Therefore, if the amounts are deemed necessary, the individual will receive compensation. If the amounts are not deemed necessary, the individual will not have the support necessary to sue.</w:t>
            </w:r>
          </w:p>
        </w:tc>
      </w:tr>
      <w:tr w:rsidR="0050632A" w14:paraId="7171E55A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3B7C1306" w14:textId="2B5D8223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Expenses Respecting Family Enterprise</w:t>
            </w:r>
            <w:r w:rsidR="00314059">
              <w:rPr>
                <w:lang w:val="en-GB"/>
              </w:rPr>
              <w:t xml:space="preserve"> / Family Business Expense</w:t>
            </w:r>
          </w:p>
        </w:tc>
        <w:tc>
          <w:tcPr>
            <w:tcW w:w="0" w:type="dxa"/>
          </w:tcPr>
          <w:p w14:paraId="5521CB7D" w14:textId="1F393F39" w:rsidR="004C1D1D" w:rsidRDefault="000D19C8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860" w:type="dxa"/>
          </w:tcPr>
          <w:p w14:paraId="21F28F58" w14:textId="032DBCF2" w:rsidR="0050632A" w:rsidRDefault="000D19C8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Manitoba benefit is set at </w:t>
            </w:r>
            <w:r w:rsidR="004671B0">
              <w:rPr>
                <w:lang w:val="en-GB"/>
              </w:rPr>
              <w:t xml:space="preserve">a maximum of $944 per week for the first 180 days after the accident. There would be potential tort exposure if </w:t>
            </w:r>
            <w:r w:rsidR="00C92B53">
              <w:rPr>
                <w:lang w:val="en-GB"/>
              </w:rPr>
              <w:t xml:space="preserve">the family is required </w:t>
            </w:r>
            <w:r w:rsidR="00C92B53">
              <w:rPr>
                <w:lang w:val="en-GB"/>
              </w:rPr>
              <w:lastRenderedPageBreak/>
              <w:t xml:space="preserve">to pay more than </w:t>
            </w:r>
            <w:r w:rsidR="00AF564A">
              <w:rPr>
                <w:lang w:val="en-GB"/>
              </w:rPr>
              <w:t>$944 per week for replacement help or if the help is needed for longer than 180 days.</w:t>
            </w:r>
          </w:p>
        </w:tc>
      </w:tr>
      <w:tr w:rsidR="0050632A" w14:paraId="7B818720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53AB40D" w14:textId="3989B0C2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lastRenderedPageBreak/>
              <w:t>Permanent Impairment Benefit</w:t>
            </w:r>
          </w:p>
        </w:tc>
        <w:tc>
          <w:tcPr>
            <w:tcW w:w="0" w:type="dxa"/>
          </w:tcPr>
          <w:p w14:paraId="5A51B52A" w14:textId="4F780772" w:rsidR="008735AE" w:rsidRDefault="008735A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581A1416" w14:textId="1B334CA4" w:rsidR="0050632A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The benefit is calculated as a percent of a stated maximum amount. Top-up coverage would provide additional benefit and would require </w:t>
            </w:r>
            <w:r w:rsidR="004C1D1D">
              <w:rPr>
                <w:lang w:val="en-GB"/>
              </w:rPr>
              <w:t xml:space="preserve">an additional </w:t>
            </w:r>
            <w:r>
              <w:rPr>
                <w:lang w:val="en-GB"/>
              </w:rPr>
              <w:t xml:space="preserve">premium. However, we do not believe the lack of top-up coverage </w:t>
            </w:r>
            <w:r w:rsidR="004C1D1D">
              <w:rPr>
                <w:lang w:val="en-GB"/>
              </w:rPr>
              <w:t>creates a potential</w:t>
            </w:r>
            <w:r>
              <w:rPr>
                <w:lang w:val="en-GB"/>
              </w:rPr>
              <w:t xml:space="preserve"> tort eligibility.</w:t>
            </w:r>
          </w:p>
        </w:tc>
      </w:tr>
      <w:tr w:rsidR="0050632A" w14:paraId="5925DBD1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A8313EA" w14:textId="57CE30EE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Funeral and Interment Expenses</w:t>
            </w:r>
          </w:p>
        </w:tc>
        <w:tc>
          <w:tcPr>
            <w:tcW w:w="0" w:type="dxa"/>
          </w:tcPr>
          <w:p w14:paraId="78EB1CD0" w14:textId="38B40F69" w:rsidR="008735AE" w:rsidRDefault="008735AE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860" w:type="dxa"/>
          </w:tcPr>
          <w:p w14:paraId="319FC3C3" w14:textId="3B28B8B6" w:rsidR="0050632A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We have an outstanding question to MPI regarding the basis of the benefit amount.</w:t>
            </w:r>
          </w:p>
        </w:tc>
      </w:tr>
      <w:tr w:rsidR="0050632A" w14:paraId="36021EA8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A3EEBC5" w14:textId="1C3809E2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Grief Counselling Expenses</w:t>
            </w:r>
          </w:p>
        </w:tc>
        <w:tc>
          <w:tcPr>
            <w:tcW w:w="0" w:type="dxa"/>
          </w:tcPr>
          <w:p w14:paraId="08DA1EB4" w14:textId="0E379211" w:rsidR="00E07A10" w:rsidRDefault="00E07A10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860" w:type="dxa"/>
          </w:tcPr>
          <w:p w14:paraId="4AE7B471" w14:textId="601A1D8B" w:rsidR="0050632A" w:rsidRDefault="0050632A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We have an outstanding question to MPI regarding the basis of the benefit amount.</w:t>
            </w:r>
          </w:p>
        </w:tc>
      </w:tr>
      <w:tr w:rsidR="0050632A" w14:paraId="518DB586" w14:textId="77777777" w:rsidTr="00C13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5703D928" w14:textId="4959D4A3" w:rsidR="0050632A" w:rsidRDefault="0050632A" w:rsidP="0050632A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Death Benefit</w:t>
            </w:r>
          </w:p>
        </w:tc>
        <w:tc>
          <w:tcPr>
            <w:tcW w:w="0" w:type="dxa"/>
          </w:tcPr>
          <w:p w14:paraId="7265D1FD" w14:textId="323493E9" w:rsidR="00E07A10" w:rsidRPr="00C13FEE" w:rsidRDefault="00E07A10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3FEE">
              <w:rPr>
                <w:lang w:val="en-GB"/>
              </w:rPr>
              <w:t>NO</w:t>
            </w:r>
          </w:p>
        </w:tc>
        <w:tc>
          <w:tcPr>
            <w:tcW w:w="4860" w:type="dxa"/>
          </w:tcPr>
          <w:p w14:paraId="49AECA24" w14:textId="33D512F8" w:rsidR="0050632A" w:rsidRPr="00635CA9" w:rsidRDefault="00E07A10" w:rsidP="005063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3FEE">
              <w:rPr>
                <w:lang w:val="en-GB"/>
              </w:rPr>
              <w:t>D</w:t>
            </w:r>
            <w:r w:rsidR="004C1D1D" w:rsidRPr="00C13FEE">
              <w:rPr>
                <w:lang w:val="en-GB"/>
              </w:rPr>
              <w:t>eath</w:t>
            </w:r>
            <w:r w:rsidR="005D53BF" w:rsidRPr="00C13FEE">
              <w:rPr>
                <w:lang w:val="en-GB"/>
              </w:rPr>
              <w:t xml:space="preserve"> benefits are calculated as amounts set by the Minister.</w:t>
            </w:r>
            <w:r w:rsidR="004C1D1D" w:rsidRPr="00635CA9">
              <w:rPr>
                <w:lang w:val="en-GB"/>
              </w:rPr>
              <w:t xml:space="preserve"> We assume that the injured driver would not be able to sue for additional costs.</w:t>
            </w:r>
          </w:p>
        </w:tc>
      </w:tr>
    </w:tbl>
    <w:p w14:paraId="1E10CC8C" w14:textId="77777777" w:rsidR="004A0A5D" w:rsidRPr="0050632A" w:rsidRDefault="004A0A5D">
      <w:pPr>
        <w:pStyle w:val="BodyText"/>
        <w:rPr>
          <w:lang w:val="en-GB"/>
        </w:rPr>
      </w:pPr>
    </w:p>
    <w:sectPr w:rsidR="004A0A5D" w:rsidRPr="0050632A" w:rsidSect="0050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2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050678"/>
    <w:multiLevelType w:val="multilevel"/>
    <w:tmpl w:val="6076FB1C"/>
    <w:numStyleLink w:val="ListContinueMultilevel"/>
  </w:abstractNum>
  <w:num w:numId="1" w16cid:durableId="95053732">
    <w:abstractNumId w:val="9"/>
  </w:num>
  <w:num w:numId="2" w16cid:durableId="70279629">
    <w:abstractNumId w:val="2"/>
  </w:num>
  <w:num w:numId="3" w16cid:durableId="503055106">
    <w:abstractNumId w:val="4"/>
  </w:num>
  <w:num w:numId="4" w16cid:durableId="1194656149">
    <w:abstractNumId w:val="3"/>
  </w:num>
  <w:num w:numId="5" w16cid:durableId="1184707001">
    <w:abstractNumId w:val="13"/>
  </w:num>
  <w:num w:numId="6" w16cid:durableId="1378044345">
    <w:abstractNumId w:val="1"/>
  </w:num>
  <w:num w:numId="7" w16cid:durableId="1175806355">
    <w:abstractNumId w:val="11"/>
  </w:num>
  <w:num w:numId="8" w16cid:durableId="2017806112">
    <w:abstractNumId w:val="15"/>
  </w:num>
  <w:num w:numId="9" w16cid:durableId="2044085861">
    <w:abstractNumId w:val="8"/>
  </w:num>
  <w:num w:numId="10" w16cid:durableId="1306471645">
    <w:abstractNumId w:val="0"/>
  </w:num>
  <w:num w:numId="11" w16cid:durableId="1561592721">
    <w:abstractNumId w:val="10"/>
  </w:num>
  <w:num w:numId="12" w16cid:durableId="378748891">
    <w:abstractNumId w:val="12"/>
  </w:num>
  <w:num w:numId="13" w16cid:durableId="498157062">
    <w:abstractNumId w:val="12"/>
  </w:num>
  <w:num w:numId="14" w16cid:durableId="1013191280">
    <w:abstractNumId w:val="7"/>
  </w:num>
  <w:num w:numId="15" w16cid:durableId="99298635">
    <w:abstractNumId w:val="6"/>
  </w:num>
  <w:num w:numId="16" w16cid:durableId="1592817364">
    <w:abstractNumId w:val="5"/>
  </w:num>
  <w:num w:numId="17" w16cid:durableId="214600596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A"/>
    <w:rsid w:val="000003BE"/>
    <w:rsid w:val="0003216E"/>
    <w:rsid w:val="00043140"/>
    <w:rsid w:val="000674DF"/>
    <w:rsid w:val="000C0BCF"/>
    <w:rsid w:val="000C1501"/>
    <w:rsid w:val="000C41E3"/>
    <w:rsid w:val="000D19C8"/>
    <w:rsid w:val="000D7D81"/>
    <w:rsid w:val="00114F32"/>
    <w:rsid w:val="00121173"/>
    <w:rsid w:val="00124A1A"/>
    <w:rsid w:val="0014109B"/>
    <w:rsid w:val="001A5546"/>
    <w:rsid w:val="0021166C"/>
    <w:rsid w:val="00262FB3"/>
    <w:rsid w:val="002D5C7B"/>
    <w:rsid w:val="002D7813"/>
    <w:rsid w:val="00314059"/>
    <w:rsid w:val="00382A78"/>
    <w:rsid w:val="0043460A"/>
    <w:rsid w:val="00446E25"/>
    <w:rsid w:val="00462875"/>
    <w:rsid w:val="004671B0"/>
    <w:rsid w:val="004742B4"/>
    <w:rsid w:val="004A0A5D"/>
    <w:rsid w:val="004B7D93"/>
    <w:rsid w:val="004C1D1D"/>
    <w:rsid w:val="0050632A"/>
    <w:rsid w:val="00515E60"/>
    <w:rsid w:val="00541F62"/>
    <w:rsid w:val="005900E2"/>
    <w:rsid w:val="005949AA"/>
    <w:rsid w:val="005D53BF"/>
    <w:rsid w:val="005F35F7"/>
    <w:rsid w:val="005F5705"/>
    <w:rsid w:val="00604C85"/>
    <w:rsid w:val="00621AF6"/>
    <w:rsid w:val="0062623E"/>
    <w:rsid w:val="006264FA"/>
    <w:rsid w:val="00635CA9"/>
    <w:rsid w:val="00641F89"/>
    <w:rsid w:val="006A056C"/>
    <w:rsid w:val="0071746A"/>
    <w:rsid w:val="00765D33"/>
    <w:rsid w:val="00765FD2"/>
    <w:rsid w:val="007C186A"/>
    <w:rsid w:val="007F5D41"/>
    <w:rsid w:val="00864439"/>
    <w:rsid w:val="008662FE"/>
    <w:rsid w:val="008735AE"/>
    <w:rsid w:val="008B5E4B"/>
    <w:rsid w:val="008D04B1"/>
    <w:rsid w:val="008D1972"/>
    <w:rsid w:val="008E0AA0"/>
    <w:rsid w:val="008E413F"/>
    <w:rsid w:val="009072AB"/>
    <w:rsid w:val="00912BEF"/>
    <w:rsid w:val="009318FB"/>
    <w:rsid w:val="00932698"/>
    <w:rsid w:val="00943F1A"/>
    <w:rsid w:val="00951029"/>
    <w:rsid w:val="00977D19"/>
    <w:rsid w:val="00995320"/>
    <w:rsid w:val="009A75E9"/>
    <w:rsid w:val="00A45456"/>
    <w:rsid w:val="00A7514F"/>
    <w:rsid w:val="00A80A6E"/>
    <w:rsid w:val="00AF564A"/>
    <w:rsid w:val="00B12542"/>
    <w:rsid w:val="00B16E4C"/>
    <w:rsid w:val="00B20572"/>
    <w:rsid w:val="00B32B31"/>
    <w:rsid w:val="00B638C6"/>
    <w:rsid w:val="00BC686D"/>
    <w:rsid w:val="00BF2FA0"/>
    <w:rsid w:val="00BF40B5"/>
    <w:rsid w:val="00C13FEE"/>
    <w:rsid w:val="00C35302"/>
    <w:rsid w:val="00C92B53"/>
    <w:rsid w:val="00CF3FA4"/>
    <w:rsid w:val="00D13851"/>
    <w:rsid w:val="00D435AE"/>
    <w:rsid w:val="00D519C0"/>
    <w:rsid w:val="00D51A59"/>
    <w:rsid w:val="00D912AC"/>
    <w:rsid w:val="00DB68E4"/>
    <w:rsid w:val="00DD4ECE"/>
    <w:rsid w:val="00E07A10"/>
    <w:rsid w:val="00E841C4"/>
    <w:rsid w:val="00ED1D3A"/>
    <w:rsid w:val="00EF0B65"/>
    <w:rsid w:val="00F0067A"/>
    <w:rsid w:val="00F16834"/>
    <w:rsid w:val="00F31E34"/>
    <w:rsid w:val="00F33E66"/>
    <w:rsid w:val="00F429F3"/>
    <w:rsid w:val="00F57243"/>
    <w:rsid w:val="00F80FAA"/>
    <w:rsid w:val="00F912EE"/>
    <w:rsid w:val="00FA7235"/>
    <w:rsid w:val="00FD3EDF"/>
    <w:rsid w:val="00FE2DFF"/>
    <w:rsid w:val="00FE304E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5A8FA"/>
  <w15:chartTrackingRefBased/>
  <w15:docId w15:val="{E0200293-E11A-40A4-B747-C6A4DB2C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98"/>
    <w:rsid w:val="006A056C"/>
  </w:style>
  <w:style w:type="paragraph" w:styleId="Heading1">
    <w:name w:val="heading 1"/>
    <w:next w:val="BodyText"/>
    <w:link w:val="Heading1Char"/>
    <w:uiPriority w:val="9"/>
    <w:qFormat/>
    <w:rsid w:val="006A056C"/>
    <w:pPr>
      <w:keepNext/>
      <w:keepLines/>
      <w:numPr>
        <w:numId w:val="4"/>
      </w:numPr>
      <w:spacing w:before="360" w:after="40"/>
      <w:outlineLvl w:val="0"/>
    </w:pPr>
    <w:rPr>
      <w:b/>
      <w:bCs/>
      <w:color w:val="002C77" w:themeColor="accent1"/>
      <w:sz w:val="44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6A056C"/>
    <w:pPr>
      <w:numPr>
        <w:ilvl w:val="1"/>
      </w:numPr>
      <w:outlineLvl w:val="1"/>
    </w:pPr>
    <w:rPr>
      <w:color w:val="auto"/>
      <w:sz w:val="36"/>
    </w:rPr>
  </w:style>
  <w:style w:type="paragraph" w:styleId="Heading3">
    <w:name w:val="heading 3"/>
    <w:basedOn w:val="Heading2"/>
    <w:next w:val="BodyText"/>
    <w:link w:val="Heading3Char"/>
    <w:uiPriority w:val="9"/>
    <w:rsid w:val="006A056C"/>
    <w:pPr>
      <w:numPr>
        <w:ilvl w:val="2"/>
      </w:numPr>
      <w:outlineLvl w:val="2"/>
    </w:pPr>
    <w:rPr>
      <w:sz w:val="32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6A056C"/>
    <w:pPr>
      <w:numPr>
        <w:ilvl w:val="3"/>
      </w:numPr>
      <w:spacing w:before="240"/>
      <w:outlineLvl w:val="3"/>
    </w:pPr>
    <w:rPr>
      <w:sz w:val="28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6A056C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6A056C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6A056C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6A056C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6A056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A056C"/>
  </w:style>
  <w:style w:type="character" w:customStyle="1" w:styleId="BodyTextChar">
    <w:name w:val="Body Text Char"/>
    <w:basedOn w:val="DefaultParagraphFont"/>
    <w:link w:val="BodyText"/>
    <w:rsid w:val="006A056C"/>
  </w:style>
  <w:style w:type="paragraph" w:customStyle="1" w:styleId="BodyTextNoSpacing">
    <w:name w:val="Body Text No Spacing"/>
    <w:basedOn w:val="BodyText"/>
    <w:next w:val="BodyText"/>
    <w:rsid w:val="006A056C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6A056C"/>
    <w:pPr>
      <w:keepNext/>
      <w:keepLines/>
      <w:spacing w:before="36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6A056C"/>
    <w:rPr>
      <w:b/>
      <w:bCs/>
      <w:color w:val="002C77" w:themeColor="accent1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A056C"/>
    <w:rPr>
      <w:b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056C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56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56C"/>
    <w:rPr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56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56C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56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56C"/>
    <w:rPr>
      <w:b/>
      <w:bCs/>
    </w:rPr>
  </w:style>
  <w:style w:type="numbering" w:customStyle="1" w:styleId="HeadingsList">
    <w:name w:val="Headings List"/>
    <w:uiPriority w:val="99"/>
    <w:rsid w:val="006A056C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6A056C"/>
    <w:pPr>
      <w:numPr>
        <w:numId w:val="5"/>
      </w:numPr>
    </w:pPr>
  </w:style>
  <w:style w:type="numbering" w:customStyle="1" w:styleId="AppendicesList">
    <w:name w:val="Appendices List"/>
    <w:uiPriority w:val="99"/>
    <w:rsid w:val="006A056C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6A056C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6A056C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6A056C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6A056C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6A056C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6A056C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6A056C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6A056C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6A056C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5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6C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6A056C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6A056C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6A056C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6A056C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6A056C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6A056C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6A056C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6A056C"/>
    <w:pPr>
      <w:numPr>
        <w:numId w:val="5"/>
      </w:numPr>
    </w:pPr>
  </w:style>
  <w:style w:type="numbering" w:customStyle="1" w:styleId="HeadingsUList">
    <w:name w:val="Headings U List"/>
    <w:uiPriority w:val="99"/>
    <w:rsid w:val="006A056C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6A056C"/>
    <w:pPr>
      <w:numPr>
        <w:numId w:val="0"/>
      </w:numPr>
    </w:pPr>
  </w:style>
  <w:style w:type="paragraph" w:styleId="ListBullet">
    <w:name w:val="List Bullet"/>
    <w:uiPriority w:val="19"/>
    <w:qFormat/>
    <w:rsid w:val="006A056C"/>
    <w:pPr>
      <w:numPr>
        <w:numId w:val="6"/>
      </w:numPr>
      <w:spacing w:after="80"/>
    </w:pPr>
  </w:style>
  <w:style w:type="paragraph" w:styleId="ListBullet2">
    <w:name w:val="List Bullet 2"/>
    <w:basedOn w:val="ListBullet"/>
    <w:uiPriority w:val="19"/>
    <w:qFormat/>
    <w:rsid w:val="006A056C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6A056C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6A056C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6A056C"/>
    <w:pPr>
      <w:numPr>
        <w:ilvl w:val="4"/>
      </w:numPr>
    </w:pPr>
  </w:style>
  <w:style w:type="numbering" w:customStyle="1" w:styleId="BulletsMultilevel">
    <w:name w:val="Bullets (Multilevel)"/>
    <w:uiPriority w:val="99"/>
    <w:rsid w:val="006A056C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6A056C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6A056C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6A056C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6A056C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6A056C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6A056C"/>
    <w:pPr>
      <w:numPr>
        <w:numId w:val="11"/>
      </w:numPr>
    </w:pPr>
  </w:style>
  <w:style w:type="paragraph" w:styleId="ListNumber">
    <w:name w:val="List Number"/>
    <w:uiPriority w:val="20"/>
    <w:qFormat/>
    <w:rsid w:val="006A056C"/>
    <w:pPr>
      <w:numPr>
        <w:numId w:val="11"/>
      </w:numPr>
      <w:spacing w:after="80"/>
    </w:pPr>
  </w:style>
  <w:style w:type="paragraph" w:styleId="ListNumber2">
    <w:name w:val="List Number 2"/>
    <w:basedOn w:val="ListNumber"/>
    <w:uiPriority w:val="20"/>
    <w:qFormat/>
    <w:rsid w:val="006A056C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6A056C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6A056C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6A056C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6A056C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6A056C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6A056C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6A056C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6A056C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6A056C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6A056C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6A056C"/>
    <w:rPr>
      <w:sz w:val="20"/>
      <w:szCs w:val="20"/>
    </w:rPr>
  </w:style>
  <w:style w:type="table" w:styleId="TableGrid">
    <w:name w:val="Table Grid"/>
    <w:basedOn w:val="TableNormal"/>
    <w:uiPriority w:val="39"/>
    <w:rsid w:val="006A05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WTable">
    <w:name w:val="OW Table"/>
    <w:basedOn w:val="TableNormal"/>
    <w:uiPriority w:val="99"/>
    <w:rsid w:val="006A056C"/>
    <w:pPr>
      <w:spacing w:before="40" w:after="40"/>
    </w:pPr>
    <w:rPr>
      <w:sz w:val="20"/>
      <w:szCs w:val="20"/>
    </w:rPr>
    <w:tblPr>
      <w:tblBorders>
        <w:bottom w:val="single" w:sz="4" w:space="0" w:color="000000" w:themeColor="text1"/>
        <w:insideH w:val="single" w:sz="4" w:space="0" w:color="000000" w:themeColor="text1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nil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6A056C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6A056C"/>
    <w:pPr>
      <w:numPr>
        <w:numId w:val="9"/>
      </w:numPr>
      <w:spacing w:after="80"/>
    </w:pPr>
  </w:style>
  <w:style w:type="paragraph" w:customStyle="1" w:styleId="ListAlphaLC2">
    <w:name w:val="List AlphaLC 2"/>
    <w:basedOn w:val="ListAlphaLC"/>
    <w:uiPriority w:val="22"/>
    <w:qFormat/>
    <w:rsid w:val="006A056C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6A056C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6A056C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6A056C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6A056C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6A056C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6A056C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6A056C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6A056C"/>
    <w:pPr>
      <w:numPr>
        <w:numId w:val="17"/>
      </w:numPr>
    </w:pPr>
  </w:style>
  <w:style w:type="paragraph" w:customStyle="1" w:styleId="ListAlphaUC">
    <w:name w:val="List AlphaUC"/>
    <w:uiPriority w:val="23"/>
    <w:qFormat/>
    <w:rsid w:val="006A056C"/>
    <w:pPr>
      <w:numPr>
        <w:numId w:val="17"/>
      </w:numPr>
      <w:spacing w:after="80"/>
    </w:pPr>
  </w:style>
  <w:style w:type="paragraph" w:customStyle="1" w:styleId="ListAlphaUC2">
    <w:name w:val="List AlphaUC 2"/>
    <w:basedOn w:val="ListAlphaUC"/>
    <w:uiPriority w:val="23"/>
    <w:qFormat/>
    <w:rsid w:val="006A056C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6A056C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6A056C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6A056C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6A056C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6A056C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6A056C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6A056C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6A056C"/>
    <w:pPr>
      <w:numPr>
        <w:numId w:val="10"/>
      </w:numPr>
    </w:pPr>
  </w:style>
  <w:style w:type="paragraph" w:customStyle="1" w:styleId="ListNumParenth">
    <w:name w:val="List NumParenth"/>
    <w:uiPriority w:val="24"/>
    <w:rsid w:val="006A056C"/>
    <w:pPr>
      <w:numPr>
        <w:numId w:val="10"/>
      </w:numPr>
      <w:spacing w:after="80"/>
    </w:pPr>
  </w:style>
  <w:style w:type="paragraph" w:customStyle="1" w:styleId="ListNumParenth2">
    <w:name w:val="List NumParenth 2"/>
    <w:basedOn w:val="ListNumParenth"/>
    <w:uiPriority w:val="24"/>
    <w:rsid w:val="006A056C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6A056C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6A056C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6A056C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6A056C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6A056C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6A056C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6A056C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6A056C"/>
    <w:pPr>
      <w:numPr>
        <w:numId w:val="14"/>
      </w:numPr>
    </w:pPr>
  </w:style>
  <w:style w:type="numbering" w:customStyle="1" w:styleId="TableNumberedMultilevel">
    <w:name w:val="Table Numbered (Multilevel)"/>
    <w:uiPriority w:val="99"/>
    <w:rsid w:val="006A056C"/>
    <w:pPr>
      <w:numPr>
        <w:numId w:val="15"/>
      </w:numPr>
    </w:pPr>
  </w:style>
  <w:style w:type="paragraph" w:customStyle="1" w:styleId="TableBullet1">
    <w:name w:val="Table Bullet 1"/>
    <w:uiPriority w:val="31"/>
    <w:rsid w:val="006A056C"/>
    <w:pPr>
      <w:numPr>
        <w:numId w:val="14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6A056C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6A056C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6A056C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6A056C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6A056C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6A056C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6A056C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6A056C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6A056C"/>
    <w:pPr>
      <w:numPr>
        <w:numId w:val="12"/>
      </w:numPr>
    </w:pPr>
  </w:style>
  <w:style w:type="paragraph" w:customStyle="1" w:styleId="TableNumbered1">
    <w:name w:val="Table Numbered 1"/>
    <w:uiPriority w:val="32"/>
    <w:rsid w:val="006A056C"/>
    <w:pPr>
      <w:numPr>
        <w:numId w:val="16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6A056C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6A056C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6A056C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6A056C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6A056C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6A056C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6A056C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6A056C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6A056C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6A056C"/>
    <w:pPr>
      <w:numPr>
        <w:numId w:val="13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6A056C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6A056C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6A056C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6A056C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6A056C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6A056C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6A056C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6A056C"/>
    <w:pPr>
      <w:numPr>
        <w:ilvl w:val="8"/>
      </w:numPr>
    </w:pPr>
  </w:style>
  <w:style w:type="paragraph" w:styleId="ListContinue">
    <w:name w:val="List Continue"/>
    <w:uiPriority w:val="21"/>
    <w:qFormat/>
    <w:rsid w:val="006A056C"/>
    <w:pPr>
      <w:numPr>
        <w:numId w:val="8"/>
      </w:numPr>
      <w:spacing w:after="80"/>
    </w:pPr>
  </w:style>
  <w:style w:type="paragraph" w:styleId="ListContinue2">
    <w:name w:val="List Continue 2"/>
    <w:basedOn w:val="ListContinue"/>
    <w:uiPriority w:val="21"/>
    <w:qFormat/>
    <w:rsid w:val="006A056C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6A056C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6A056C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6A056C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6A056C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6A056C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6A056C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6A056C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6A056C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6A056C"/>
    <w:pPr>
      <w:spacing w:after="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6A056C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6A056C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6A056C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6A056C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6A056C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6A056C"/>
    <w:pPr>
      <w:ind w:left="1440"/>
    </w:pPr>
  </w:style>
  <w:style w:type="paragraph" w:styleId="Footer">
    <w:name w:val="footer"/>
    <w:basedOn w:val="Header"/>
    <w:link w:val="FooterChar"/>
    <w:uiPriority w:val="35"/>
    <w:rsid w:val="006A056C"/>
  </w:style>
  <w:style w:type="character" w:customStyle="1" w:styleId="FooterChar">
    <w:name w:val="Footer Char"/>
    <w:basedOn w:val="DefaultParagraphFont"/>
    <w:link w:val="Footer"/>
    <w:uiPriority w:val="35"/>
    <w:rsid w:val="006A056C"/>
    <w:rPr>
      <w:sz w:val="16"/>
    </w:rPr>
  </w:style>
  <w:style w:type="paragraph" w:styleId="Header">
    <w:name w:val="header"/>
    <w:basedOn w:val="BodyText"/>
    <w:link w:val="HeaderChar"/>
    <w:uiPriority w:val="35"/>
    <w:rsid w:val="006A056C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6A056C"/>
    <w:rPr>
      <w:sz w:val="16"/>
    </w:rPr>
  </w:style>
  <w:style w:type="character" w:styleId="Hyperlink">
    <w:name w:val="Hyperlink"/>
    <w:basedOn w:val="DefaultParagraphFont"/>
    <w:uiPriority w:val="34"/>
    <w:rsid w:val="006A056C"/>
    <w:rPr>
      <w:color w:val="2C6EF2"/>
      <w:u w:val="none"/>
    </w:rPr>
  </w:style>
  <w:style w:type="character" w:styleId="PageNumber">
    <w:name w:val="page number"/>
    <w:uiPriority w:val="35"/>
    <w:rsid w:val="006A056C"/>
    <w:rPr>
      <w:sz w:val="20"/>
      <w:szCs w:val="20"/>
    </w:rPr>
  </w:style>
  <w:style w:type="paragraph" w:styleId="TOCHeading">
    <w:name w:val="TOC Heading"/>
    <w:next w:val="BodyText"/>
    <w:uiPriority w:val="38"/>
    <w:rsid w:val="0062623E"/>
    <w:rPr>
      <w:rFonts w:cstheme="majorBidi"/>
      <w:b/>
      <w:bCs/>
      <w:color w:val="002C77" w:themeColor="accent1"/>
      <w:sz w:val="32"/>
      <w:szCs w:val="56"/>
    </w:rPr>
  </w:style>
  <w:style w:type="paragraph" w:styleId="TOC1">
    <w:name w:val="toc 1"/>
    <w:next w:val="BodyText"/>
    <w:autoRedefine/>
    <w:uiPriority w:val="39"/>
    <w:rsid w:val="006A056C"/>
    <w:pPr>
      <w:keepNext/>
      <w:tabs>
        <w:tab w:val="right" w:leader="dot" w:pos="9000"/>
      </w:tabs>
      <w:spacing w:before="240" w:after="60"/>
      <w:ind w:left="936" w:right="432" w:hanging="936"/>
    </w:pPr>
    <w:rPr>
      <w:b/>
      <w:sz w:val="24"/>
    </w:rPr>
  </w:style>
  <w:style w:type="paragraph" w:styleId="TOC2">
    <w:name w:val="toc 2"/>
    <w:basedOn w:val="TOC1"/>
    <w:next w:val="BodyText"/>
    <w:autoRedefine/>
    <w:uiPriority w:val="39"/>
    <w:rsid w:val="006A056C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  <w:rsid w:val="006A056C"/>
  </w:style>
  <w:style w:type="paragraph" w:styleId="TOC4">
    <w:name w:val="toc 4"/>
    <w:basedOn w:val="TOC3"/>
    <w:next w:val="BodyText"/>
    <w:autoRedefine/>
    <w:uiPriority w:val="39"/>
    <w:unhideWhenUsed/>
    <w:rsid w:val="006A056C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6A056C"/>
  </w:style>
  <w:style w:type="paragraph" w:styleId="TOC9">
    <w:name w:val="toc 9"/>
    <w:basedOn w:val="TOC1"/>
    <w:next w:val="BodyText"/>
    <w:autoRedefine/>
    <w:uiPriority w:val="39"/>
    <w:rsid w:val="006A056C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6A056C"/>
  </w:style>
  <w:style w:type="paragraph" w:styleId="TOC7">
    <w:name w:val="toc 7"/>
    <w:basedOn w:val="TOC6"/>
    <w:next w:val="BodyText"/>
    <w:autoRedefine/>
    <w:uiPriority w:val="39"/>
    <w:semiHidden/>
    <w:rsid w:val="006A056C"/>
  </w:style>
  <w:style w:type="paragraph" w:styleId="TOC8">
    <w:name w:val="toc 8"/>
    <w:basedOn w:val="TOC7"/>
    <w:next w:val="BodyText"/>
    <w:autoRedefine/>
    <w:uiPriority w:val="39"/>
    <w:semiHidden/>
    <w:rsid w:val="006A056C"/>
  </w:style>
  <w:style w:type="paragraph" w:styleId="TableofFigures">
    <w:name w:val="table of figures"/>
    <w:next w:val="BodyText"/>
    <w:uiPriority w:val="40"/>
    <w:rsid w:val="006A056C"/>
    <w:pPr>
      <w:spacing w:after="60"/>
      <w:ind w:right="1080"/>
    </w:pPr>
    <w:rPr>
      <w:sz w:val="20"/>
    </w:rPr>
  </w:style>
  <w:style w:type="character" w:styleId="IntenseEmphasis">
    <w:name w:val="Intense Emphasis"/>
    <w:basedOn w:val="DefaultParagraphFont"/>
    <w:uiPriority w:val="98"/>
    <w:semiHidden/>
    <w:rsid w:val="006A056C"/>
    <w:rPr>
      <w:i/>
      <w:iCs/>
      <w:color w:val="002C77" w:themeColor="accent1"/>
    </w:rPr>
  </w:style>
  <w:style w:type="character" w:styleId="Emphasis">
    <w:name w:val="Emphasis"/>
    <w:basedOn w:val="DefaultParagraphFont"/>
    <w:uiPriority w:val="98"/>
    <w:semiHidden/>
    <w:rsid w:val="006A056C"/>
    <w:rPr>
      <w:i/>
      <w:iCs/>
    </w:rPr>
  </w:style>
  <w:style w:type="character" w:styleId="Strong">
    <w:name w:val="Strong"/>
    <w:basedOn w:val="DefaultParagraphFont"/>
    <w:uiPriority w:val="98"/>
    <w:semiHidden/>
    <w:rsid w:val="006A056C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6A056C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6A056C"/>
    <w:pPr>
      <w:spacing w:after="0"/>
    </w:pPr>
  </w:style>
  <w:style w:type="paragraph" w:customStyle="1" w:styleId="BodyTextPadding">
    <w:name w:val="Body Text Padding"/>
    <w:basedOn w:val="BodyTextNoSpacing"/>
    <w:next w:val="BodyText"/>
    <w:qFormat/>
    <w:rsid w:val="006A056C"/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6A056C"/>
    <w:rPr>
      <w:color w:val="808080"/>
    </w:rPr>
  </w:style>
  <w:style w:type="paragraph" w:styleId="Title">
    <w:name w:val="Title"/>
    <w:basedOn w:val="Normal"/>
    <w:next w:val="Normal"/>
    <w:link w:val="TitleChar"/>
    <w:uiPriority w:val="98"/>
    <w:semiHidden/>
    <w:rsid w:val="00506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50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50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50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50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50632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50632A"/>
    <w:pPr>
      <w:pBdr>
        <w:top w:val="single" w:sz="4" w:space="10" w:color="002059" w:themeColor="accent1" w:themeShade="BF"/>
        <w:bottom w:val="single" w:sz="4" w:space="10" w:color="002059" w:themeColor="accent1" w:themeShade="BF"/>
      </w:pBdr>
      <w:spacing w:before="360" w:after="360"/>
      <w:ind w:left="864" w:right="864"/>
      <w:jc w:val="center"/>
    </w:pPr>
    <w:rPr>
      <w:i/>
      <w:iCs/>
      <w:color w:val="0020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50632A"/>
    <w:rPr>
      <w:i/>
      <w:iCs/>
      <w:color w:val="002059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50632A"/>
    <w:rPr>
      <w:b/>
      <w:bCs/>
      <w:smallCaps/>
      <w:color w:val="002059" w:themeColor="accent1" w:themeShade="BF"/>
      <w:spacing w:val="5"/>
    </w:rPr>
  </w:style>
  <w:style w:type="paragraph" w:styleId="Revision">
    <w:name w:val="Revision"/>
    <w:hidden/>
    <w:uiPriority w:val="99"/>
    <w:semiHidden/>
    <w:rsid w:val="00262FB3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AF5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liver Wyman">
  <a:themeElements>
    <a:clrScheme name="Oliver Wyma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2C77"/>
      </a:accent1>
      <a:accent2>
        <a:srgbClr val="009DE0"/>
      </a:accent2>
      <a:accent3>
        <a:srgbClr val="949494"/>
      </a:accent3>
      <a:accent4>
        <a:srgbClr val="DADADA"/>
      </a:accent4>
      <a:accent5>
        <a:srgbClr val="275D38"/>
      </a:accent5>
      <a:accent6>
        <a:srgbClr val="00AC41"/>
      </a:accent6>
      <a:hlink>
        <a:srgbClr val="2C6EF2"/>
      </a:hlink>
      <a:folHlink>
        <a:srgbClr val="2C6EF2"/>
      </a:folHlink>
    </a:clrScheme>
    <a:fontScheme name="Oliver Wyman">
      <a:majorFont>
        <a:latin typeface="Calibr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Oliver Wyman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blue">
      <a:srgbClr val="002C77"/>
    </a:custClr>
    <a:custClr name="Dark gray">
      <a:srgbClr val="565656"/>
    </a:custClr>
    <a:custClr name="Dark green">
      <a:srgbClr val="275D38"/>
    </a:custClr>
    <a:custClr name="Dark yellow">
      <a:srgbClr val="965D00"/>
    </a:custClr>
    <a:custClr name="Dark orange">
      <a:srgbClr val="A32E00"/>
    </a:custClr>
    <a:custClr name="Dark crimson">
      <a:srgbClr val="9A1C1F"/>
    </a:custClr>
    <a:custClr name="Dark pink">
      <a:srgbClr val="B2025B"/>
    </a:custClr>
    <a:custClr name="Dark purple">
      <a:srgbClr val="463282"/>
    </a:custClr>
    <a:custClr name="Dark blue gray">
      <a:srgbClr val="4E6287"/>
    </a:custClr>
    <a:custClr name="Danger red">
      <a:srgbClr val="C53532"/>
    </a:custClr>
    <a:custClr name="Blue">
      <a:srgbClr val="009DE0"/>
    </a:custClr>
    <a:custClr name="Gray">
      <a:srgbClr val="949494"/>
    </a:custClr>
    <a:custClr name="Green">
      <a:srgbClr val="00AC41"/>
    </a:custClr>
    <a:custClr name="Yellow">
      <a:srgbClr val="FFBE00"/>
    </a:custClr>
    <a:custClr name="Orange">
      <a:srgbClr val="FF8C00"/>
    </a:custClr>
    <a:custClr name="Crimson">
      <a:srgbClr val="EF4E45"/>
    </a:custClr>
    <a:custClr name="Pink">
      <a:srgbClr val="EE3D8B"/>
    </a:custClr>
    <a:custClr name="Purple">
      <a:srgbClr val="8246AF"/>
    </a:custClr>
    <a:custClr name="Blue gray">
      <a:srgbClr val="8096B2"/>
    </a:custClr>
    <a:custClr name="Warning yellow">
      <a:srgbClr val="FFBE00"/>
    </a:custClr>
    <a:custClr name="Light blue">
      <a:srgbClr val="76D3FF"/>
    </a:custClr>
    <a:custClr name="Light gray">
      <a:srgbClr val="DADADA"/>
    </a:custClr>
    <a:custClr name="Light green">
      <a:srgbClr val="ADDFB3"/>
    </a:custClr>
    <a:custClr name="Light yellow">
      <a:srgbClr val="FFE580"/>
    </a:custClr>
    <a:custClr name="Light orange">
      <a:srgbClr val="FFCA94"/>
    </a:custClr>
    <a:custClr name="Light crimson">
      <a:srgbClr val="FFAEA6"/>
    </a:custClr>
    <a:custClr name="Light pink">
      <a:srgbClr val="F8ACBE"/>
    </a:custClr>
    <a:custClr name="Light purple">
      <a:srgbClr val="CCB3E0"/>
    </a:custClr>
    <a:custClr name="Light blue gray">
      <a:srgbClr val="BED3E4"/>
    </a:custClr>
    <a:custClr name="Success green">
      <a:srgbClr val="14853D"/>
    </a:custClr>
    <a:custClr name="Table blue">
      <a:srgbClr val="C7EDFF"/>
    </a:custClr>
    <a:custClr name="Table gray">
      <a:srgbClr val="F0F0F0"/>
    </a:custClr>
  </a:custClrLst>
  <a:extLst>
    <a:ext uri="{05A4C25C-085E-4340-85A3-A5531E510DB2}">
      <thm15:themeFamily xmlns:thm15="http://schemas.microsoft.com/office/thememl/2012/main" name="Classic Blank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F9D9593E454EBA522F194F66DEAD" ma:contentTypeVersion="14" ma:contentTypeDescription="Create a new document." ma:contentTypeScope="" ma:versionID="bda2826cf585b03182e5bb788edcf8ea">
  <xsd:schema xmlns:xsd="http://www.w3.org/2001/XMLSchema" xmlns:xs="http://www.w3.org/2001/XMLSchema" xmlns:p="http://schemas.microsoft.com/office/2006/metadata/properties" xmlns:ns2="cfb45fa2-028f-4a31-9ea3-d10ddf11d723" xmlns:ns3="ae75c396-7924-46c1-8050-3f63a214f860" targetNamespace="http://schemas.microsoft.com/office/2006/metadata/properties" ma:root="true" ma:fieldsID="303e79a3f23e88233df7191ea0ee8442" ns2:_="" ns3:_="">
    <xsd:import namespace="cfb45fa2-028f-4a31-9ea3-d10ddf11d723"/>
    <xsd:import namespace="ae75c396-7924-46c1-8050-3f63a214f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5fa2-028f-4a31-9ea3-d10ddf11d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5c396-7924-46c1-8050-3f63a214f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fb9c83e-c408-43b1-85fd-2e8cca785ac3}" ma:internalName="TaxCatchAll" ma:showField="CatchAllData" ma:web="ae75c396-7924-46c1-8050-3f63a214f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45fa2-028f-4a31-9ea3-d10ddf11d723">
      <Terms xmlns="http://schemas.microsoft.com/office/infopath/2007/PartnerControls"/>
    </lcf76f155ced4ddcb4097134ff3c332f>
    <TaxCatchAll xmlns="ae75c396-7924-46c1-8050-3f63a214f860" xsi:nil="true"/>
  </documentManagement>
</p:properties>
</file>

<file path=customXml/item3.xml><?xml version="1.0" encoding="utf-8"?>
<ToolsWordRibbonObjects xmlns="http://www.oliverwyman.com/RibbonConfig">
  <RibbonObject Id="FixTableWidth2010Button" Visible="false"/>
</ToolsWordRibbonObject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8A3A1-20C9-443F-8178-4E9FAB69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5fa2-028f-4a31-9ea3-d10ddf11d723"/>
    <ds:schemaRef ds:uri="ae75c396-7924-46c1-8050-3f63a214f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4B298-C639-4088-ABAB-D238CE4F4F64}">
  <ds:schemaRefs>
    <ds:schemaRef ds:uri="http://schemas.microsoft.com/office/2006/metadata/properties"/>
    <ds:schemaRef ds:uri="http://schemas.microsoft.com/office/infopath/2007/PartnerControls"/>
    <ds:schemaRef ds:uri="cfb45fa2-028f-4a31-9ea3-d10ddf11d723"/>
    <ds:schemaRef ds:uri="ae75c396-7924-46c1-8050-3f63a214f860"/>
  </ds:schemaRefs>
</ds:datastoreItem>
</file>

<file path=customXml/itemProps3.xml><?xml version="1.0" encoding="utf-8"?>
<ds:datastoreItem xmlns:ds="http://schemas.openxmlformats.org/officeDocument/2006/customXml" ds:itemID="{C88CF459-3C95-4F56-8C28-6F735D9496E2}">
  <ds:schemaRefs>
    <ds:schemaRef ds:uri="http://www.oliverwyman.com/RibbonConfig"/>
  </ds:schemaRefs>
</ds:datastoreItem>
</file>

<file path=customXml/itemProps4.xml><?xml version="1.0" encoding="utf-8"?>
<ds:datastoreItem xmlns:ds="http://schemas.openxmlformats.org/officeDocument/2006/customXml" ds:itemID="{3BD1C072-6B23-4E53-9FDE-3914AE54C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508</Words>
  <Characters>2739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Reichner, Jaylen</dc:creator>
  <cp:keywords>OW21-LOCKABLES.Normal.20210601.2</cp:keywords>
  <dc:description/>
  <cp:lastModifiedBy>Chan, Felix</cp:lastModifiedBy>
  <cp:revision>43</cp:revision>
  <dcterms:created xsi:type="dcterms:W3CDTF">2025-11-18T21:43:00Z</dcterms:created>
  <dcterms:modified xsi:type="dcterms:W3CDTF">2025-12-11T16:55:00Z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2025-11-18T20:04:42Z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dbabb5ab-9e9b-4a2c-8df5-1c93f22cc734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  <property fmtid="{D5CDD505-2E9C-101B-9397-08002B2CF9AE}" pid="11" name="ContentTypeId">
    <vt:lpwstr>0x010100655BF9D9593E454EBA522F194F66DEAD</vt:lpwstr>
  </property>
  <property fmtid="{D5CDD505-2E9C-101B-9397-08002B2CF9AE}" pid="12" name="GrammarlyDocumentId">
    <vt:lpwstr>ac54cb82-3b60-40ae-90c3-d4fa3b7f2f4c</vt:lpwstr>
  </property>
  <property fmtid="{D5CDD505-2E9C-101B-9397-08002B2CF9AE}" pid="13" name="MediaServiceImageTags">
    <vt:lpwstr/>
  </property>
</Properties>
</file>